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F19854">
      <w:pPr>
        <w:pStyle w:val="2"/>
        <w:keepNext w:val="0"/>
        <w:keepLines w:val="0"/>
        <w:pageBreakBefore w:val="0"/>
        <w:widowControl w:val="0"/>
        <w:kinsoku/>
        <w:wordWrap/>
        <w:overflowPunct/>
        <w:topLinePunct w:val="0"/>
        <w:autoSpaceDE/>
        <w:autoSpaceDN/>
        <w:bidi w:val="0"/>
        <w:adjustRightInd/>
        <w:snapToGrid/>
        <w:spacing w:line="360" w:lineRule="atLeast"/>
        <w:jc w:val="center"/>
        <w:textAlignment w:val="auto"/>
        <w:rPr>
          <w:rFonts w:hint="eastAsia" w:ascii="宋体" w:hAnsi="宋体" w:eastAsia="宋体" w:cs="宋体"/>
          <w:b w:val="0"/>
          <w:bCs/>
          <w:color w:val="auto"/>
          <w:sz w:val="30"/>
          <w:szCs w:val="30"/>
          <w:lang w:val="en-US" w:eastAsia="zh-CN"/>
        </w:rPr>
      </w:pPr>
      <w:r>
        <w:rPr>
          <w:rFonts w:hint="eastAsia" w:ascii="宋体" w:hAnsi="宋体" w:eastAsia="宋体" w:cs="宋体"/>
          <w:b/>
          <w:color w:val="auto"/>
          <w:sz w:val="30"/>
          <w:szCs w:val="30"/>
        </w:rPr>
        <w:t>宝钛集团宽厚板材料公司</w:t>
      </w:r>
      <w:r>
        <w:rPr>
          <w:rFonts w:hint="eastAsia" w:ascii="宋体" w:hAnsi="宋体" w:cs="宋体"/>
          <w:b/>
          <w:color w:val="auto"/>
          <w:sz w:val="30"/>
          <w:szCs w:val="30"/>
          <w:lang w:val="en-US" w:eastAsia="zh-CN"/>
        </w:rPr>
        <w:t>润滑油备件</w:t>
      </w:r>
      <w:r>
        <w:rPr>
          <w:rFonts w:hint="eastAsia" w:ascii="宋体" w:hAnsi="宋体" w:eastAsia="宋体" w:cs="宋体"/>
          <w:b/>
          <w:color w:val="auto"/>
          <w:sz w:val="30"/>
          <w:szCs w:val="30"/>
          <w:lang w:val="en-US" w:eastAsia="zh-CN"/>
        </w:rPr>
        <w:t>采购公告</w:t>
      </w:r>
    </w:p>
    <w:p w14:paraId="64505738">
      <w:pPr>
        <w:pStyle w:val="2"/>
        <w:ind w:firstLine="2409" w:firstLineChars="800"/>
        <w:rPr>
          <w:rFonts w:hint="eastAsia" w:ascii="宋体" w:hAnsi="宋体" w:eastAsia="宋体" w:cs="宋体"/>
          <w:b/>
          <w:bCs w:val="0"/>
          <w:color w:val="auto"/>
          <w:lang w:val="en-US" w:eastAsia="zh-CN"/>
        </w:rPr>
      </w:pPr>
      <w:r>
        <w:rPr>
          <w:rFonts w:hint="eastAsia" w:ascii="宋体" w:hAnsi="宋体" w:eastAsia="宋体" w:cs="宋体"/>
          <w:b/>
          <w:bCs w:val="0"/>
          <w:color w:val="auto"/>
          <w:sz w:val="30"/>
          <w:szCs w:val="30"/>
          <w:lang w:val="en-US" w:eastAsia="zh-CN"/>
        </w:rPr>
        <w:t>（采购编号：BT-KHB-202</w:t>
      </w:r>
      <w:r>
        <w:rPr>
          <w:rFonts w:hint="eastAsia" w:ascii="宋体" w:hAnsi="宋体" w:cs="宋体"/>
          <w:b/>
          <w:bCs w:val="0"/>
          <w:color w:val="auto"/>
          <w:sz w:val="30"/>
          <w:szCs w:val="30"/>
          <w:lang w:val="en-US" w:eastAsia="zh-CN"/>
        </w:rPr>
        <w:t>6</w:t>
      </w:r>
      <w:r>
        <w:rPr>
          <w:rFonts w:hint="eastAsia" w:ascii="宋体" w:hAnsi="宋体" w:eastAsia="宋体" w:cs="宋体"/>
          <w:b/>
          <w:bCs w:val="0"/>
          <w:color w:val="auto"/>
          <w:sz w:val="30"/>
          <w:szCs w:val="30"/>
          <w:lang w:val="en-US" w:eastAsia="zh-CN"/>
        </w:rPr>
        <w:t>-</w:t>
      </w:r>
      <w:r>
        <w:rPr>
          <w:rFonts w:hint="eastAsia" w:ascii="宋体" w:hAnsi="宋体" w:cs="宋体"/>
          <w:b/>
          <w:bCs w:val="0"/>
          <w:color w:val="auto"/>
          <w:sz w:val="30"/>
          <w:szCs w:val="30"/>
          <w:lang w:val="en-US" w:eastAsia="zh-CN"/>
        </w:rPr>
        <w:t>004</w:t>
      </w:r>
      <w:r>
        <w:rPr>
          <w:rFonts w:hint="eastAsia" w:ascii="宋体" w:hAnsi="宋体" w:eastAsia="宋体" w:cs="宋体"/>
          <w:b/>
          <w:bCs w:val="0"/>
          <w:color w:val="auto"/>
          <w:sz w:val="30"/>
          <w:szCs w:val="30"/>
          <w:lang w:val="en-US" w:eastAsia="zh-CN"/>
        </w:rPr>
        <w:t>）</w:t>
      </w:r>
    </w:p>
    <w:p w14:paraId="545ECDE4">
      <w:pPr>
        <w:keepNext w:val="0"/>
        <w:keepLines w:val="0"/>
        <w:pageBreakBefore w:val="0"/>
        <w:kinsoku/>
        <w:wordWrap/>
        <w:overflowPunct/>
        <w:topLinePunct w:val="0"/>
        <w:autoSpaceDE/>
        <w:autoSpaceDN/>
        <w:bidi w:val="0"/>
        <w:spacing w:line="360" w:lineRule="exact"/>
        <w:ind w:left="0" w:firstLine="560" w:firstLineChars="200"/>
        <w:jc w:val="left"/>
        <w:textAlignment w:val="auto"/>
        <w:rPr>
          <w:rFonts w:hint="default" w:ascii="Times New Roman" w:hAnsi="Times New Roman" w:cs="Times New Roman" w:eastAsiaTheme="minorEastAsia"/>
          <w:color w:val="auto"/>
          <w:sz w:val="28"/>
          <w:szCs w:val="28"/>
        </w:rPr>
      </w:pPr>
      <w:r>
        <w:rPr>
          <w:rFonts w:hint="eastAsia" w:cs="Times New Roman" w:eastAsiaTheme="minorEastAsia"/>
          <w:color w:val="auto"/>
          <w:sz w:val="28"/>
          <w:szCs w:val="28"/>
          <w:lang w:val="en-US" w:eastAsia="zh-CN"/>
        </w:rPr>
        <w:t>采购</w:t>
      </w:r>
      <w:r>
        <w:rPr>
          <w:rFonts w:hint="default" w:ascii="Times New Roman" w:hAnsi="Times New Roman" w:cs="Times New Roman" w:eastAsiaTheme="minorEastAsia"/>
          <w:color w:val="auto"/>
          <w:sz w:val="28"/>
          <w:szCs w:val="28"/>
        </w:rPr>
        <w:t>项目所在地：陕西省宝鸡市</w:t>
      </w:r>
    </w:p>
    <w:p w14:paraId="01CEB38B">
      <w:pPr>
        <w:keepNext w:val="0"/>
        <w:keepLines w:val="0"/>
        <w:pageBreakBefore w:val="0"/>
        <w:widowControl/>
        <w:numPr>
          <w:ilvl w:val="0"/>
          <w:numId w:val="1"/>
        </w:numPr>
        <w:kinsoku/>
        <w:wordWrap/>
        <w:overflowPunct/>
        <w:topLinePunct w:val="0"/>
        <w:autoSpaceDE/>
        <w:autoSpaceDN/>
        <w:bidi w:val="0"/>
        <w:adjustRightInd w:val="0"/>
        <w:snapToGrid w:val="0"/>
        <w:spacing w:line="360" w:lineRule="exact"/>
        <w:ind w:left="0" w:firstLine="560" w:firstLineChars="200"/>
        <w:jc w:val="left"/>
        <w:textAlignment w:val="auto"/>
        <w:rPr>
          <w:rFonts w:hint="default" w:ascii="Times New Roman" w:hAnsi="Times New Roman" w:cs="Times New Roman" w:eastAsiaTheme="minorEastAsia"/>
          <w:color w:val="auto"/>
          <w:sz w:val="28"/>
          <w:szCs w:val="28"/>
          <w:lang w:val="en-US"/>
        </w:rPr>
      </w:pPr>
      <w:r>
        <w:rPr>
          <w:rFonts w:hint="eastAsia" w:cs="Times New Roman" w:eastAsiaTheme="minorEastAsia"/>
          <w:color w:val="auto"/>
          <w:sz w:val="28"/>
          <w:szCs w:val="28"/>
          <w:lang w:val="en-US" w:eastAsia="zh-CN"/>
        </w:rPr>
        <w:t>采购</w:t>
      </w:r>
      <w:r>
        <w:rPr>
          <w:rFonts w:hint="default" w:ascii="Times New Roman" w:hAnsi="Times New Roman" w:cs="Times New Roman" w:eastAsiaTheme="minorEastAsia"/>
          <w:color w:val="auto"/>
          <w:sz w:val="28"/>
          <w:szCs w:val="28"/>
        </w:rPr>
        <w:t>内容和范围：</w:t>
      </w:r>
      <w:r>
        <w:rPr>
          <w:rFonts w:hint="eastAsia" w:ascii="宋体" w:hAnsi="宋体" w:cs="宋体"/>
          <w:b w:val="0"/>
          <w:bCs/>
          <w:color w:val="auto"/>
          <w:sz w:val="28"/>
          <w:szCs w:val="28"/>
          <w:lang w:val="en-US" w:eastAsia="zh-CN"/>
        </w:rPr>
        <w:t>润滑油</w:t>
      </w:r>
      <w:r>
        <w:rPr>
          <w:rFonts w:hint="default" w:ascii="Times New Roman" w:hAnsi="Times New Roman" w:cs="Times New Roman" w:eastAsiaTheme="minorEastAsia"/>
          <w:color w:val="auto"/>
          <w:sz w:val="28"/>
          <w:szCs w:val="28"/>
        </w:rPr>
        <w:t>的供应、包装、运输、送货上门并负责卸货及售后服务</w:t>
      </w:r>
      <w:r>
        <w:rPr>
          <w:rFonts w:hint="eastAsia" w:ascii="宋体" w:hAnsi="宋体" w:cs="宋体"/>
          <w:b w:val="0"/>
          <w:bCs/>
          <w:color w:val="auto"/>
          <w:sz w:val="28"/>
          <w:szCs w:val="28"/>
          <w:lang w:val="en-US" w:eastAsia="zh-CN"/>
        </w:rPr>
        <w:t>。</w:t>
      </w:r>
    </w:p>
    <w:p w14:paraId="4D8E03C4">
      <w:pPr>
        <w:keepNext w:val="0"/>
        <w:keepLines w:val="0"/>
        <w:pageBreakBefore w:val="0"/>
        <w:widowControl/>
        <w:numPr>
          <w:ilvl w:val="0"/>
          <w:numId w:val="1"/>
        </w:numPr>
        <w:kinsoku/>
        <w:wordWrap/>
        <w:overflowPunct/>
        <w:topLinePunct w:val="0"/>
        <w:autoSpaceDE/>
        <w:autoSpaceDN/>
        <w:bidi w:val="0"/>
        <w:adjustRightInd w:val="0"/>
        <w:snapToGrid w:val="0"/>
        <w:spacing w:line="360" w:lineRule="exact"/>
        <w:ind w:left="0" w:leftChars="0" w:firstLine="560" w:firstLineChars="200"/>
        <w:jc w:val="left"/>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资金来源信息：自筹资金。</w:t>
      </w:r>
    </w:p>
    <w:p w14:paraId="3F3EC818">
      <w:pPr>
        <w:pStyle w:val="10"/>
        <w:keepNext w:val="0"/>
        <w:keepLines w:val="0"/>
        <w:pageBreakBefore w:val="0"/>
        <w:numPr>
          <w:ilvl w:val="0"/>
          <w:numId w:val="0"/>
        </w:numPr>
        <w:tabs>
          <w:tab w:val="left" w:pos="480"/>
        </w:tabs>
        <w:kinsoku/>
        <w:wordWrap/>
        <w:overflowPunct/>
        <w:topLinePunct w:val="0"/>
        <w:autoSpaceDE/>
        <w:autoSpaceDN/>
        <w:bidi w:val="0"/>
        <w:spacing w:line="360" w:lineRule="exact"/>
        <w:ind w:left="0" w:leftChars="0" w:firstLine="560" w:firstLineChars="200"/>
        <w:jc w:val="left"/>
        <w:textAlignment w:val="auto"/>
        <w:rPr>
          <w:rFonts w:hint="default" w:ascii="Times New Roman" w:hAnsi="Times New Roman" w:cs="Times New Roman" w:eastAsiaTheme="minorEastAsia"/>
          <w:color w:val="auto"/>
          <w:sz w:val="28"/>
          <w:szCs w:val="28"/>
        </w:rPr>
      </w:pPr>
      <w:r>
        <w:rPr>
          <w:rFonts w:hint="eastAsia" w:cs="Times New Roman" w:eastAsiaTheme="minorEastAsia"/>
          <w:color w:val="auto"/>
          <w:sz w:val="28"/>
          <w:szCs w:val="28"/>
          <w:lang w:val="en-US" w:eastAsia="zh-CN"/>
        </w:rPr>
        <w:t>三</w:t>
      </w:r>
      <w:r>
        <w:rPr>
          <w:rFonts w:hint="default" w:ascii="Times New Roman" w:hAnsi="Times New Roman" w:cs="Times New Roman" w:eastAsiaTheme="minorEastAsia"/>
          <w:color w:val="auto"/>
          <w:sz w:val="28"/>
          <w:szCs w:val="28"/>
          <w:lang w:eastAsia="zh-CN"/>
        </w:rPr>
        <w:t>、</w:t>
      </w:r>
      <w:r>
        <w:rPr>
          <w:rFonts w:hint="default" w:ascii="Times New Roman" w:hAnsi="Times New Roman" w:cs="Times New Roman" w:eastAsiaTheme="minorEastAsia"/>
          <w:color w:val="auto"/>
          <w:sz w:val="28"/>
          <w:szCs w:val="28"/>
        </w:rPr>
        <w:t xml:space="preserve">监督部门名称：宝钛集团有限公司纪委办综合室 举报电话0917-3258055  举报 </w:t>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HYPERLINK "mailto:邮箱jcc@baoti.com" </w:instrText>
      </w:r>
      <w:r>
        <w:rPr>
          <w:rFonts w:hint="default" w:ascii="Times New Roman" w:hAnsi="Times New Roman" w:cs="Times New Roman"/>
          <w:color w:val="auto"/>
          <w:sz w:val="28"/>
          <w:szCs w:val="28"/>
        </w:rPr>
        <w:fldChar w:fldCharType="separate"/>
      </w:r>
      <w:r>
        <w:rPr>
          <w:rStyle w:val="8"/>
          <w:rFonts w:hint="default" w:ascii="Times New Roman" w:hAnsi="Times New Roman" w:cs="Times New Roman" w:eastAsiaTheme="minorEastAsia"/>
          <w:color w:val="auto"/>
          <w:sz w:val="28"/>
          <w:szCs w:val="28"/>
        </w:rPr>
        <w:t>邮箱jcc@baoti.com</w:t>
      </w:r>
      <w:r>
        <w:rPr>
          <w:rStyle w:val="8"/>
          <w:rFonts w:hint="default" w:ascii="Times New Roman" w:hAnsi="Times New Roman" w:cs="Times New Roman" w:eastAsiaTheme="minorEastAsia"/>
          <w:color w:val="auto"/>
          <w:sz w:val="28"/>
          <w:szCs w:val="28"/>
        </w:rPr>
        <w:fldChar w:fldCharType="end"/>
      </w:r>
      <w:r>
        <w:rPr>
          <w:rFonts w:hint="default" w:ascii="Times New Roman" w:hAnsi="Times New Roman" w:cs="Times New Roman" w:eastAsiaTheme="minorEastAsia"/>
          <w:color w:val="auto"/>
          <w:sz w:val="28"/>
          <w:szCs w:val="28"/>
        </w:rPr>
        <w:t>。</w:t>
      </w:r>
    </w:p>
    <w:p w14:paraId="318F6777">
      <w:pPr>
        <w:keepNext w:val="0"/>
        <w:keepLines w:val="0"/>
        <w:pageBreakBefore w:val="0"/>
        <w:numPr>
          <w:ilvl w:val="0"/>
          <w:numId w:val="0"/>
        </w:numPr>
        <w:tabs>
          <w:tab w:val="left" w:pos="480"/>
        </w:tabs>
        <w:kinsoku/>
        <w:wordWrap/>
        <w:overflowPunct/>
        <w:topLinePunct w:val="0"/>
        <w:autoSpaceDE/>
        <w:autoSpaceDN/>
        <w:bidi w:val="0"/>
        <w:spacing w:line="360" w:lineRule="exact"/>
        <w:ind w:left="0" w:leftChars="0" w:firstLine="560" w:firstLineChars="200"/>
        <w:jc w:val="left"/>
        <w:textAlignment w:val="auto"/>
        <w:rPr>
          <w:rFonts w:hint="default" w:ascii="Times New Roman" w:hAnsi="Times New Roman" w:cs="Times New Roman" w:eastAsiaTheme="minorEastAsia"/>
          <w:color w:val="auto"/>
          <w:sz w:val="28"/>
          <w:szCs w:val="28"/>
        </w:rPr>
      </w:pPr>
      <w:r>
        <w:rPr>
          <w:rFonts w:hint="eastAsia" w:cs="Times New Roman" w:eastAsiaTheme="minorEastAsia"/>
          <w:color w:val="auto"/>
          <w:sz w:val="28"/>
          <w:szCs w:val="28"/>
          <w:lang w:val="en-US" w:eastAsia="zh-CN"/>
        </w:rPr>
        <w:t>四</w:t>
      </w:r>
      <w:r>
        <w:rPr>
          <w:rFonts w:hint="default" w:ascii="Times New Roman" w:hAnsi="Times New Roman" w:cs="Times New Roman" w:eastAsiaTheme="minorEastAsia"/>
          <w:color w:val="auto"/>
          <w:sz w:val="28"/>
          <w:szCs w:val="28"/>
          <w:lang w:eastAsia="zh-CN"/>
        </w:rPr>
        <w:t>、</w:t>
      </w:r>
      <w:r>
        <w:rPr>
          <w:rFonts w:hint="eastAsia" w:cs="Times New Roman" w:eastAsiaTheme="minorEastAsia"/>
          <w:color w:val="auto"/>
          <w:sz w:val="28"/>
          <w:szCs w:val="28"/>
          <w:lang w:val="en-US" w:eastAsia="zh-CN"/>
        </w:rPr>
        <w:t>项目名称及数量</w:t>
      </w:r>
      <w:r>
        <w:rPr>
          <w:rFonts w:hint="default" w:ascii="Times New Roman" w:hAnsi="Times New Roman" w:cs="Times New Roman" w:eastAsiaTheme="minorEastAsia"/>
          <w:color w:val="auto"/>
          <w:sz w:val="28"/>
          <w:szCs w:val="28"/>
        </w:rPr>
        <w:t>：</w:t>
      </w:r>
    </w:p>
    <w:p w14:paraId="7131406C">
      <w:pPr>
        <w:keepNext w:val="0"/>
        <w:keepLines w:val="0"/>
        <w:pageBreakBefore w:val="0"/>
        <w:numPr>
          <w:ilvl w:val="0"/>
          <w:numId w:val="0"/>
        </w:numPr>
        <w:tabs>
          <w:tab w:val="left" w:pos="480"/>
        </w:tabs>
        <w:kinsoku/>
        <w:wordWrap/>
        <w:overflowPunct/>
        <w:topLinePunct w:val="0"/>
        <w:autoSpaceDE/>
        <w:autoSpaceDN/>
        <w:bidi w:val="0"/>
        <w:spacing w:line="360" w:lineRule="exact"/>
        <w:ind w:left="0" w:leftChars="0" w:firstLine="560" w:firstLineChars="200"/>
        <w:jc w:val="left"/>
        <w:textAlignment w:val="auto"/>
        <w:rPr>
          <w:rFonts w:hint="eastAsia" w:cs="Times New Roman" w:eastAsiaTheme="minorEastAsia"/>
          <w:color w:val="auto"/>
          <w:sz w:val="28"/>
          <w:szCs w:val="28"/>
          <w:lang w:val="en-US" w:eastAsia="zh-CN"/>
        </w:rPr>
      </w:pPr>
      <w:r>
        <w:rPr>
          <w:rFonts w:hint="default" w:ascii="Times New Roman" w:hAnsi="Times New Roman" w:cs="Times New Roman" w:eastAsiaTheme="minorEastAsia"/>
          <w:color w:val="auto"/>
          <w:sz w:val="28"/>
          <w:szCs w:val="28"/>
          <w:lang w:val="en-US" w:eastAsia="zh-CN"/>
        </w:rPr>
        <w:t>1.L-CKD150工业闭式齿轮油60桶（170公斤/桶）</w:t>
      </w:r>
      <w:r>
        <w:rPr>
          <w:rFonts w:hint="eastAsia" w:cs="Times New Roman" w:eastAsiaTheme="minorEastAsia"/>
          <w:color w:val="auto"/>
          <w:sz w:val="28"/>
          <w:szCs w:val="28"/>
          <w:lang w:val="en-US" w:eastAsia="zh-CN"/>
        </w:rPr>
        <w:t>；</w:t>
      </w:r>
    </w:p>
    <w:p w14:paraId="31F72B9D">
      <w:pPr>
        <w:keepNext w:val="0"/>
        <w:keepLines w:val="0"/>
        <w:pageBreakBefore w:val="0"/>
        <w:numPr>
          <w:ilvl w:val="0"/>
          <w:numId w:val="0"/>
        </w:numPr>
        <w:tabs>
          <w:tab w:val="left" w:pos="480"/>
        </w:tabs>
        <w:kinsoku/>
        <w:wordWrap/>
        <w:overflowPunct/>
        <w:topLinePunct w:val="0"/>
        <w:autoSpaceDE/>
        <w:autoSpaceDN/>
        <w:bidi w:val="0"/>
        <w:spacing w:line="360" w:lineRule="exact"/>
        <w:ind w:left="0" w:leftChars="0" w:firstLine="560" w:firstLineChars="200"/>
        <w:jc w:val="left"/>
        <w:textAlignment w:val="auto"/>
        <w:rPr>
          <w:rFonts w:hint="default" w:ascii="Times New Roman" w:hAnsi="Times New Roman" w:cs="Times New Roman" w:eastAsiaTheme="minorEastAsia"/>
          <w:color w:val="auto"/>
          <w:sz w:val="28"/>
          <w:szCs w:val="28"/>
          <w:lang w:val="en-US" w:eastAsia="zh-CN"/>
        </w:rPr>
      </w:pPr>
      <w:r>
        <w:rPr>
          <w:rFonts w:hint="default" w:ascii="Times New Roman" w:hAnsi="Times New Roman" w:cs="Times New Roman" w:eastAsiaTheme="minorEastAsia"/>
          <w:color w:val="auto"/>
          <w:sz w:val="28"/>
          <w:szCs w:val="28"/>
          <w:lang w:val="en-US" w:eastAsia="zh-CN"/>
        </w:rPr>
        <w:t>2.L-HM46抗磨液压油20桶（170公斤/桶）；</w:t>
      </w:r>
    </w:p>
    <w:p w14:paraId="3289679E">
      <w:pPr>
        <w:keepNext w:val="0"/>
        <w:keepLines w:val="0"/>
        <w:pageBreakBefore w:val="0"/>
        <w:numPr>
          <w:ilvl w:val="0"/>
          <w:numId w:val="0"/>
        </w:numPr>
        <w:tabs>
          <w:tab w:val="left" w:pos="480"/>
        </w:tabs>
        <w:kinsoku/>
        <w:wordWrap/>
        <w:overflowPunct/>
        <w:topLinePunct w:val="0"/>
        <w:autoSpaceDE/>
        <w:autoSpaceDN/>
        <w:bidi w:val="0"/>
        <w:spacing w:line="360" w:lineRule="exact"/>
        <w:ind w:left="0" w:leftChars="0" w:firstLine="560" w:firstLineChars="200"/>
        <w:jc w:val="left"/>
        <w:textAlignment w:val="auto"/>
        <w:rPr>
          <w:rFonts w:hint="default" w:ascii="Times New Roman" w:hAnsi="Times New Roman" w:cs="Times New Roman" w:eastAsiaTheme="minorEastAsia"/>
          <w:color w:val="auto"/>
          <w:sz w:val="28"/>
          <w:szCs w:val="28"/>
          <w:lang w:val="en-US" w:eastAsia="zh-CN"/>
        </w:rPr>
      </w:pPr>
      <w:r>
        <w:rPr>
          <w:rFonts w:hint="default" w:ascii="Times New Roman" w:hAnsi="Times New Roman" w:cs="Times New Roman" w:eastAsiaTheme="minorEastAsia"/>
          <w:color w:val="auto"/>
          <w:sz w:val="28"/>
          <w:szCs w:val="28"/>
          <w:lang w:val="en-US" w:eastAsia="zh-CN"/>
        </w:rPr>
        <w:t>3.B460油膜轴承油20桶（170公斤/桶）。</w:t>
      </w:r>
    </w:p>
    <w:p w14:paraId="3A9133D3">
      <w:pPr>
        <w:keepNext w:val="0"/>
        <w:keepLines w:val="0"/>
        <w:pageBreakBefore w:val="0"/>
        <w:kinsoku/>
        <w:wordWrap/>
        <w:overflowPunct/>
        <w:topLinePunct w:val="0"/>
        <w:autoSpaceDE/>
        <w:autoSpaceDN/>
        <w:bidi w:val="0"/>
        <w:spacing w:line="360" w:lineRule="exact"/>
        <w:ind w:left="0" w:firstLine="560" w:firstLineChars="200"/>
        <w:jc w:val="left"/>
        <w:textAlignment w:val="auto"/>
        <w:rPr>
          <w:rFonts w:hint="default" w:ascii="Times New Roman" w:hAnsi="Times New Roman" w:cs="Times New Roman" w:eastAsiaTheme="minorEastAsia"/>
          <w:color w:val="auto"/>
          <w:sz w:val="28"/>
          <w:szCs w:val="28"/>
        </w:rPr>
      </w:pPr>
      <w:r>
        <w:rPr>
          <w:rFonts w:hint="eastAsia" w:cs="Times New Roman" w:eastAsiaTheme="minorEastAsia"/>
          <w:color w:val="auto"/>
          <w:sz w:val="28"/>
          <w:szCs w:val="28"/>
          <w:lang w:val="en-US" w:eastAsia="zh-CN"/>
        </w:rPr>
        <w:t>五</w:t>
      </w:r>
      <w:r>
        <w:rPr>
          <w:rFonts w:hint="default" w:ascii="Times New Roman" w:hAnsi="Times New Roman" w:cs="Times New Roman" w:eastAsiaTheme="minorEastAsia"/>
          <w:color w:val="auto"/>
          <w:sz w:val="28"/>
          <w:szCs w:val="28"/>
        </w:rPr>
        <w:t>、</w:t>
      </w:r>
      <w:r>
        <w:rPr>
          <w:rFonts w:hint="eastAsia" w:cs="Times New Roman" w:eastAsiaTheme="minorEastAsia"/>
          <w:color w:val="auto"/>
          <w:sz w:val="28"/>
          <w:szCs w:val="28"/>
          <w:lang w:val="en-US" w:eastAsia="zh-CN"/>
        </w:rPr>
        <w:t>供应商</w:t>
      </w:r>
      <w:r>
        <w:rPr>
          <w:rFonts w:hint="default" w:ascii="Times New Roman" w:hAnsi="Times New Roman" w:cs="Times New Roman" w:eastAsiaTheme="minorEastAsia"/>
          <w:color w:val="auto"/>
          <w:sz w:val="28"/>
          <w:szCs w:val="28"/>
        </w:rPr>
        <w:t>的资格能力要求：</w:t>
      </w:r>
    </w:p>
    <w:p w14:paraId="7B04113B">
      <w:pPr>
        <w:keepNext w:val="0"/>
        <w:keepLines w:val="0"/>
        <w:pageBreakBefore w:val="0"/>
        <w:kinsoku/>
        <w:wordWrap/>
        <w:overflowPunct/>
        <w:topLinePunct w:val="0"/>
        <w:autoSpaceDE/>
        <w:autoSpaceDN/>
        <w:bidi w:val="0"/>
        <w:spacing w:line="360" w:lineRule="exact"/>
        <w:ind w:left="0" w:firstLine="560" w:firstLineChars="200"/>
        <w:jc w:val="left"/>
        <w:textAlignment w:val="auto"/>
        <w:rPr>
          <w:rFonts w:hint="eastAsia" w:cs="Times New Roman" w:eastAsiaTheme="minorEastAsia"/>
          <w:color w:val="auto"/>
          <w:kern w:val="0"/>
          <w:sz w:val="28"/>
          <w:szCs w:val="28"/>
          <w:lang w:val="en-US" w:eastAsia="zh-CN"/>
        </w:rPr>
      </w:pPr>
      <w:r>
        <w:rPr>
          <w:rFonts w:hint="eastAsia" w:cs="Times New Roman" w:eastAsiaTheme="minorEastAsia"/>
          <w:color w:val="auto"/>
          <w:kern w:val="0"/>
          <w:sz w:val="28"/>
          <w:szCs w:val="28"/>
          <w:lang w:val="en-US" w:eastAsia="zh-CN"/>
        </w:rPr>
        <w:t>1.供应商为中华人民共和国境内正式注册并具有独立法人资格的法人或其他组织，具有独立签订合同的权利和良好履行合同能力的生产厂家或经销商，生产厂家或经销商营业执照范围内应包含润滑油生产或销售内容。</w:t>
      </w:r>
    </w:p>
    <w:p w14:paraId="3835E171">
      <w:pPr>
        <w:keepNext w:val="0"/>
        <w:keepLines w:val="0"/>
        <w:pageBreakBefore w:val="0"/>
        <w:kinsoku/>
        <w:wordWrap/>
        <w:overflowPunct/>
        <w:topLinePunct w:val="0"/>
        <w:autoSpaceDE/>
        <w:autoSpaceDN/>
        <w:bidi w:val="0"/>
        <w:spacing w:line="360" w:lineRule="exact"/>
        <w:ind w:left="0" w:firstLine="560" w:firstLineChars="200"/>
        <w:jc w:val="left"/>
        <w:textAlignment w:val="auto"/>
        <w:rPr>
          <w:rFonts w:hint="eastAsia" w:cs="Times New Roman" w:eastAsiaTheme="minorEastAsia"/>
          <w:color w:val="auto"/>
          <w:kern w:val="0"/>
          <w:sz w:val="28"/>
          <w:szCs w:val="28"/>
          <w:lang w:val="en-US" w:eastAsia="zh-CN"/>
        </w:rPr>
      </w:pPr>
      <w:r>
        <w:rPr>
          <w:rFonts w:hint="eastAsia" w:cs="Times New Roman" w:eastAsiaTheme="minorEastAsia"/>
          <w:color w:val="auto"/>
          <w:kern w:val="0"/>
          <w:sz w:val="28"/>
          <w:szCs w:val="28"/>
          <w:lang w:val="en-US" w:eastAsia="zh-CN"/>
        </w:rPr>
        <w:t>2.供应商具有良好的财务情况，须提供近三年（2022-2024年）的财务报告；若成立不足三年的，须提供自成立以来的财务报告；若成立不足一年的，提供基本账户开户行的资信证明；有良好的履约能力，近三年无重大诉讼案件和重大合同纠纷；</w:t>
      </w:r>
    </w:p>
    <w:p w14:paraId="3EC1B1BA">
      <w:pPr>
        <w:keepNext w:val="0"/>
        <w:keepLines w:val="0"/>
        <w:pageBreakBefore w:val="0"/>
        <w:kinsoku/>
        <w:wordWrap/>
        <w:overflowPunct/>
        <w:topLinePunct w:val="0"/>
        <w:autoSpaceDE/>
        <w:autoSpaceDN/>
        <w:bidi w:val="0"/>
        <w:spacing w:line="360" w:lineRule="exact"/>
        <w:ind w:left="0" w:firstLine="560" w:firstLineChars="200"/>
        <w:jc w:val="left"/>
        <w:textAlignment w:val="auto"/>
        <w:rPr>
          <w:rFonts w:hint="eastAsia" w:cs="Times New Roman" w:eastAsiaTheme="minorEastAsia"/>
          <w:color w:val="auto"/>
          <w:kern w:val="0"/>
          <w:sz w:val="28"/>
          <w:szCs w:val="28"/>
          <w:lang w:val="en-US" w:eastAsia="zh-CN"/>
        </w:rPr>
      </w:pPr>
      <w:r>
        <w:rPr>
          <w:rFonts w:hint="eastAsia" w:cs="Times New Roman" w:eastAsiaTheme="minorEastAsia"/>
          <w:color w:val="auto"/>
          <w:kern w:val="0"/>
          <w:sz w:val="28"/>
          <w:szCs w:val="28"/>
          <w:lang w:val="en-US" w:eastAsia="zh-CN"/>
        </w:rPr>
        <w:t>3.单位负责人为同一人或存在控股、管理关系的不同单位，不得同时参加采购项目；</w:t>
      </w:r>
    </w:p>
    <w:p w14:paraId="3EE3AAFE">
      <w:pPr>
        <w:keepNext w:val="0"/>
        <w:keepLines w:val="0"/>
        <w:pageBreakBefore w:val="0"/>
        <w:kinsoku/>
        <w:wordWrap/>
        <w:overflowPunct/>
        <w:topLinePunct w:val="0"/>
        <w:autoSpaceDE/>
        <w:autoSpaceDN/>
        <w:bidi w:val="0"/>
        <w:spacing w:line="360" w:lineRule="exact"/>
        <w:ind w:left="0" w:firstLine="560" w:firstLineChars="200"/>
        <w:jc w:val="left"/>
        <w:textAlignment w:val="auto"/>
        <w:rPr>
          <w:rFonts w:hint="eastAsia" w:cs="Times New Roman" w:eastAsiaTheme="minorEastAsia"/>
          <w:color w:val="auto"/>
          <w:kern w:val="0"/>
          <w:sz w:val="28"/>
          <w:szCs w:val="28"/>
          <w:lang w:val="en-US" w:eastAsia="zh-CN"/>
        </w:rPr>
      </w:pPr>
      <w:r>
        <w:rPr>
          <w:rFonts w:hint="eastAsia" w:cs="Times New Roman" w:eastAsiaTheme="minorEastAsia"/>
          <w:color w:val="auto"/>
          <w:kern w:val="0"/>
          <w:sz w:val="28"/>
          <w:szCs w:val="28"/>
          <w:lang w:val="en-US" w:eastAsia="zh-CN"/>
        </w:rPr>
        <w:t>4.供应商不得在“信用中国”网站被列为失信被执行人（https://www.creditchina.gov.cn/xinyongfuwu/shixinbeizhixingrenchaxun/），提供查询截图；</w:t>
      </w:r>
    </w:p>
    <w:p w14:paraId="0569CFF8">
      <w:pPr>
        <w:keepNext w:val="0"/>
        <w:keepLines w:val="0"/>
        <w:pageBreakBefore w:val="0"/>
        <w:kinsoku/>
        <w:wordWrap/>
        <w:overflowPunct/>
        <w:topLinePunct w:val="0"/>
        <w:autoSpaceDE/>
        <w:autoSpaceDN/>
        <w:bidi w:val="0"/>
        <w:spacing w:line="360" w:lineRule="exact"/>
        <w:ind w:left="0" w:firstLine="560" w:firstLineChars="200"/>
        <w:jc w:val="left"/>
        <w:textAlignment w:val="auto"/>
        <w:rPr>
          <w:rFonts w:hint="eastAsia" w:cs="Times New Roman" w:eastAsiaTheme="minorEastAsia"/>
          <w:color w:val="auto"/>
          <w:kern w:val="0"/>
          <w:sz w:val="28"/>
          <w:szCs w:val="28"/>
          <w:lang w:val="en-US" w:eastAsia="zh-CN"/>
        </w:rPr>
      </w:pPr>
      <w:r>
        <w:rPr>
          <w:rFonts w:hint="eastAsia" w:cs="Times New Roman" w:eastAsiaTheme="minorEastAsia"/>
          <w:color w:val="auto"/>
          <w:kern w:val="0"/>
          <w:sz w:val="28"/>
          <w:szCs w:val="28"/>
          <w:lang w:val="en-US" w:eastAsia="zh-CN"/>
        </w:rPr>
        <w:t>5.本次采购项目不允许联合体响应。</w:t>
      </w:r>
    </w:p>
    <w:p w14:paraId="1686B7F2">
      <w:pPr>
        <w:keepNext w:val="0"/>
        <w:keepLines w:val="0"/>
        <w:pageBreakBefore w:val="0"/>
        <w:kinsoku/>
        <w:wordWrap/>
        <w:overflowPunct/>
        <w:topLinePunct w:val="0"/>
        <w:autoSpaceDE/>
        <w:autoSpaceDN/>
        <w:bidi w:val="0"/>
        <w:spacing w:line="360" w:lineRule="exact"/>
        <w:ind w:left="0" w:firstLine="560" w:firstLineChars="200"/>
        <w:jc w:val="left"/>
        <w:textAlignment w:val="auto"/>
        <w:rPr>
          <w:rFonts w:hint="default" w:ascii="Times New Roman" w:hAnsi="Times New Roman" w:cs="Times New Roman" w:eastAsiaTheme="minorEastAsia"/>
          <w:color w:val="auto"/>
          <w:kern w:val="0"/>
          <w:sz w:val="28"/>
          <w:szCs w:val="28"/>
        </w:rPr>
      </w:pPr>
      <w:r>
        <w:rPr>
          <w:rFonts w:hint="eastAsia" w:cs="Times New Roman" w:eastAsiaTheme="minorEastAsia"/>
          <w:color w:val="auto"/>
          <w:kern w:val="0"/>
          <w:sz w:val="28"/>
          <w:szCs w:val="28"/>
          <w:lang w:val="en-US" w:eastAsia="zh-CN"/>
        </w:rPr>
        <w:t>六</w:t>
      </w:r>
      <w:r>
        <w:rPr>
          <w:rFonts w:hint="default" w:ascii="Times New Roman" w:hAnsi="Times New Roman" w:cs="Times New Roman" w:eastAsiaTheme="minorEastAsia"/>
          <w:color w:val="auto"/>
          <w:kern w:val="0"/>
          <w:sz w:val="28"/>
          <w:szCs w:val="28"/>
        </w:rPr>
        <w:t>、公告内容：</w:t>
      </w:r>
    </w:p>
    <w:p w14:paraId="7825F2A9">
      <w:pPr>
        <w:keepNext w:val="0"/>
        <w:keepLines w:val="0"/>
        <w:pageBreakBefore w:val="0"/>
        <w:kinsoku/>
        <w:wordWrap/>
        <w:overflowPunct/>
        <w:topLinePunct w:val="0"/>
        <w:autoSpaceDE/>
        <w:autoSpaceDN/>
        <w:bidi w:val="0"/>
        <w:spacing w:line="360" w:lineRule="exact"/>
        <w:ind w:left="0" w:firstLine="560" w:firstLineChars="200"/>
        <w:jc w:val="left"/>
        <w:textAlignment w:val="auto"/>
        <w:rPr>
          <w:rFonts w:hint="eastAsia" w:cs="Times New Roman" w:eastAsiaTheme="minorEastAsia"/>
          <w:color w:val="auto"/>
          <w:sz w:val="28"/>
          <w:szCs w:val="28"/>
          <w:lang w:val="en-US" w:eastAsia="zh-CN"/>
        </w:rPr>
      </w:pPr>
      <w:r>
        <w:rPr>
          <w:rFonts w:hint="default" w:ascii="Times New Roman" w:hAnsi="Times New Roman" w:cs="Times New Roman" w:eastAsiaTheme="minorEastAsia"/>
          <w:color w:val="auto"/>
          <w:sz w:val="28"/>
          <w:szCs w:val="28"/>
        </w:rPr>
        <w:t>（一）</w:t>
      </w:r>
      <w:r>
        <w:rPr>
          <w:rFonts w:hint="eastAsia" w:cs="Times New Roman" w:eastAsiaTheme="minorEastAsia"/>
          <w:color w:val="auto"/>
          <w:sz w:val="28"/>
          <w:szCs w:val="28"/>
          <w:lang w:val="en-US" w:eastAsia="zh-CN"/>
        </w:rPr>
        <w:t>采购形式：询比采购</w:t>
      </w:r>
    </w:p>
    <w:p w14:paraId="612B4DB9">
      <w:pPr>
        <w:pStyle w:val="2"/>
        <w:keepNext w:val="0"/>
        <w:keepLines w:val="0"/>
        <w:pageBreakBefore w:val="0"/>
        <w:kinsoku/>
        <w:wordWrap/>
        <w:overflowPunct/>
        <w:topLinePunct w:val="0"/>
        <w:autoSpaceDE/>
        <w:autoSpaceDN/>
        <w:bidi w:val="0"/>
        <w:ind w:left="0" w:firstLine="560" w:firstLineChars="200"/>
        <w:jc w:val="left"/>
        <w:textAlignment w:val="auto"/>
        <w:rPr>
          <w:rFonts w:hint="eastAsia" w:cs="Times New Roman" w:eastAsiaTheme="minorEastAsia"/>
          <w:color w:val="auto"/>
          <w:sz w:val="28"/>
          <w:szCs w:val="28"/>
          <w:lang w:val="en-US" w:eastAsia="zh-CN"/>
        </w:rPr>
      </w:pPr>
      <w:r>
        <w:rPr>
          <w:rFonts w:hint="eastAsia" w:cs="Times New Roman" w:eastAsiaTheme="minorEastAsia"/>
          <w:color w:val="auto"/>
          <w:sz w:val="28"/>
          <w:szCs w:val="28"/>
          <w:lang w:val="en-US" w:eastAsia="zh-CN"/>
        </w:rPr>
        <w:t>（二）物资规格：</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7"/>
        <w:gridCol w:w="2436"/>
        <w:gridCol w:w="1936"/>
        <w:gridCol w:w="1669"/>
      </w:tblGrid>
      <w:tr w14:paraId="73865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797" w:type="dxa"/>
            <w:noWrap w:val="0"/>
            <w:vAlign w:val="center"/>
          </w:tcPr>
          <w:p w14:paraId="011A2152">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280" w:lineRule="exact"/>
              <w:ind w:left="0" w:firstLine="420" w:firstLineChars="20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物资名称</w:t>
            </w:r>
          </w:p>
        </w:tc>
        <w:tc>
          <w:tcPr>
            <w:tcW w:w="2436" w:type="dxa"/>
            <w:noWrap w:val="0"/>
            <w:vAlign w:val="center"/>
          </w:tcPr>
          <w:p w14:paraId="328FDDF1">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280" w:lineRule="exact"/>
              <w:ind w:left="0" w:leftChars="0" w:firstLine="0" w:firstLineChars="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重负荷工业闭式齿轮油</w:t>
            </w:r>
          </w:p>
        </w:tc>
        <w:tc>
          <w:tcPr>
            <w:tcW w:w="1936" w:type="dxa"/>
            <w:noWrap w:val="0"/>
            <w:vAlign w:val="center"/>
          </w:tcPr>
          <w:p w14:paraId="4357D1AF">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280" w:lineRule="exact"/>
              <w:ind w:left="0" w:leftChars="0" w:firstLine="0" w:firstLineChars="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抗磨液压油</w:t>
            </w:r>
          </w:p>
        </w:tc>
        <w:tc>
          <w:tcPr>
            <w:tcW w:w="1669" w:type="dxa"/>
            <w:noWrap w:val="0"/>
            <w:vAlign w:val="center"/>
          </w:tcPr>
          <w:p w14:paraId="61FA2FDC">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280" w:lineRule="exact"/>
              <w:ind w:left="0" w:leftChars="0" w:firstLine="0" w:firstLineChars="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油膜轴承油</w:t>
            </w:r>
          </w:p>
        </w:tc>
      </w:tr>
      <w:tr w14:paraId="55144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797" w:type="dxa"/>
            <w:noWrap w:val="0"/>
            <w:vAlign w:val="center"/>
          </w:tcPr>
          <w:p w14:paraId="02FC4FB1">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firstLine="420" w:firstLineChars="20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color w:val="auto"/>
                <w:sz w:val="21"/>
                <w:szCs w:val="21"/>
                <w:lang w:val="en-US" w:eastAsia="zh-CN" w:bidi="ar-SA"/>
              </w:rPr>
              <w:t>执行标准</w:t>
            </w:r>
          </w:p>
        </w:tc>
        <w:tc>
          <w:tcPr>
            <w:tcW w:w="2436" w:type="dxa"/>
            <w:noWrap w:val="0"/>
            <w:vAlign w:val="center"/>
          </w:tcPr>
          <w:p w14:paraId="4E0F6B13">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firstLine="420" w:firstLineChars="20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color w:val="auto"/>
                <w:sz w:val="21"/>
                <w:szCs w:val="21"/>
                <w:lang w:val="en-US" w:eastAsia="zh-CN" w:bidi="ar-SA"/>
              </w:rPr>
              <w:t>GB 5903-2011</w:t>
            </w:r>
          </w:p>
        </w:tc>
        <w:tc>
          <w:tcPr>
            <w:tcW w:w="1936" w:type="dxa"/>
            <w:noWrap w:val="0"/>
            <w:vAlign w:val="center"/>
          </w:tcPr>
          <w:p w14:paraId="62D948B5">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leftChars="0" w:firstLine="0" w:firstLineChars="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GB11118.1-2011</w:t>
            </w:r>
          </w:p>
        </w:tc>
        <w:tc>
          <w:tcPr>
            <w:tcW w:w="1669" w:type="dxa"/>
            <w:noWrap w:val="0"/>
            <w:vAlign w:val="center"/>
          </w:tcPr>
          <w:p w14:paraId="6BF7B5DF">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leftChars="0" w:firstLine="0" w:firstLineChars="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Q/SH3031 0624</w:t>
            </w:r>
          </w:p>
        </w:tc>
      </w:tr>
      <w:tr w14:paraId="0F3B8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797" w:type="dxa"/>
            <w:noWrap w:val="0"/>
            <w:vAlign w:val="center"/>
          </w:tcPr>
          <w:p w14:paraId="1675B9D0">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firstLine="420" w:firstLineChars="20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color w:val="auto"/>
                <w:sz w:val="21"/>
                <w:szCs w:val="21"/>
                <w:lang w:val="en-US" w:eastAsia="zh-CN"/>
              </w:rPr>
              <w:t>规格</w:t>
            </w:r>
          </w:p>
        </w:tc>
        <w:tc>
          <w:tcPr>
            <w:tcW w:w="2436" w:type="dxa"/>
            <w:noWrap w:val="0"/>
            <w:vAlign w:val="center"/>
          </w:tcPr>
          <w:p w14:paraId="560728C3">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leftChars="0" w:firstLine="0" w:firstLineChars="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color w:val="auto"/>
                <w:sz w:val="21"/>
                <w:szCs w:val="21"/>
                <w:lang w:val="en-US" w:eastAsia="zh-CN"/>
              </w:rPr>
              <w:t>L-CKD150，170kg/桶</w:t>
            </w:r>
          </w:p>
        </w:tc>
        <w:tc>
          <w:tcPr>
            <w:tcW w:w="1936" w:type="dxa"/>
            <w:noWrap w:val="0"/>
            <w:vAlign w:val="center"/>
          </w:tcPr>
          <w:p w14:paraId="2A8FBFBA">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leftChars="0" w:firstLine="0" w:firstLineChars="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L-HM 46,170kg/桶</w:t>
            </w:r>
          </w:p>
        </w:tc>
        <w:tc>
          <w:tcPr>
            <w:tcW w:w="1669" w:type="dxa"/>
            <w:noWrap w:val="0"/>
            <w:vAlign w:val="center"/>
          </w:tcPr>
          <w:p w14:paraId="3FD0B0C8">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leftChars="0" w:firstLine="0" w:firstLineChars="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B460,170kg/桶</w:t>
            </w:r>
          </w:p>
        </w:tc>
      </w:tr>
      <w:tr w14:paraId="28446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797" w:type="dxa"/>
            <w:noWrap w:val="0"/>
            <w:vAlign w:val="center"/>
          </w:tcPr>
          <w:p w14:paraId="6C1B49BF">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leftChars="0" w:firstLine="0" w:firstLineChars="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运动黏度（40℃）</w:t>
            </w:r>
          </w:p>
        </w:tc>
        <w:tc>
          <w:tcPr>
            <w:tcW w:w="2436" w:type="dxa"/>
            <w:noWrap w:val="0"/>
            <w:vAlign w:val="center"/>
          </w:tcPr>
          <w:p w14:paraId="52F2E25B">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firstLine="420" w:firstLineChars="20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135-165mm²/s</w:t>
            </w:r>
          </w:p>
        </w:tc>
        <w:tc>
          <w:tcPr>
            <w:tcW w:w="1936" w:type="dxa"/>
            <w:noWrap w:val="0"/>
            <w:vAlign w:val="center"/>
          </w:tcPr>
          <w:p w14:paraId="238E864C">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leftChars="0" w:firstLine="0" w:firstLineChars="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41.4-50.6</w:t>
            </w:r>
            <w:r>
              <w:rPr>
                <w:rFonts w:hint="eastAsia" w:ascii="宋体" w:hAnsi="宋体" w:eastAsia="宋体" w:cs="宋体"/>
                <w:sz w:val="21"/>
                <w:szCs w:val="21"/>
                <w:lang w:val="en-US" w:eastAsia="zh-CN"/>
              </w:rPr>
              <w:t>mm²/s</w:t>
            </w:r>
          </w:p>
        </w:tc>
        <w:tc>
          <w:tcPr>
            <w:tcW w:w="1669" w:type="dxa"/>
            <w:noWrap w:val="0"/>
            <w:vAlign w:val="center"/>
          </w:tcPr>
          <w:p w14:paraId="5B34E1A6">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leftChars="0" w:firstLine="0" w:firstLineChars="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414-506</w:t>
            </w:r>
            <w:r>
              <w:rPr>
                <w:rFonts w:hint="eastAsia" w:ascii="宋体" w:hAnsi="宋体" w:eastAsia="宋体" w:cs="宋体"/>
                <w:sz w:val="21"/>
                <w:szCs w:val="21"/>
                <w:lang w:val="en-US" w:eastAsia="zh-CN"/>
              </w:rPr>
              <w:t>mm²/s</w:t>
            </w:r>
          </w:p>
        </w:tc>
      </w:tr>
      <w:tr w14:paraId="4A983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797" w:type="dxa"/>
            <w:noWrap w:val="0"/>
            <w:vAlign w:val="center"/>
          </w:tcPr>
          <w:p w14:paraId="7B972B18">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firstLine="420" w:firstLineChars="20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外观</w:t>
            </w:r>
          </w:p>
        </w:tc>
        <w:tc>
          <w:tcPr>
            <w:tcW w:w="2436" w:type="dxa"/>
            <w:noWrap w:val="0"/>
            <w:vAlign w:val="center"/>
          </w:tcPr>
          <w:p w14:paraId="68A60977">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firstLine="420" w:firstLineChars="20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透明（目测）</w:t>
            </w:r>
          </w:p>
        </w:tc>
        <w:tc>
          <w:tcPr>
            <w:tcW w:w="1936" w:type="dxa"/>
            <w:noWrap w:val="0"/>
            <w:vAlign w:val="center"/>
          </w:tcPr>
          <w:p w14:paraId="41CD8B03">
            <w:pPr>
              <w:keepNext w:val="0"/>
              <w:keepLines w:val="0"/>
              <w:pageBreakBefore w:val="0"/>
              <w:widowControl/>
              <w:kinsoku/>
              <w:wordWrap/>
              <w:overflowPunct/>
              <w:topLinePunct w:val="0"/>
              <w:autoSpaceDE/>
              <w:autoSpaceDN/>
              <w:bidi w:val="0"/>
              <w:adjustRightInd w:val="0"/>
              <w:snapToGrid w:val="0"/>
              <w:spacing w:after="181" w:afterLines="50" w:line="400" w:lineRule="exact"/>
              <w:ind w:left="0" w:firstLine="420" w:firstLineChars="20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透明（目测）</w:t>
            </w:r>
          </w:p>
        </w:tc>
        <w:tc>
          <w:tcPr>
            <w:tcW w:w="1669" w:type="dxa"/>
            <w:noWrap w:val="0"/>
            <w:vAlign w:val="center"/>
          </w:tcPr>
          <w:p w14:paraId="3DB4D8EC">
            <w:pPr>
              <w:keepNext w:val="0"/>
              <w:keepLines w:val="0"/>
              <w:pageBreakBefore w:val="0"/>
              <w:widowControl/>
              <w:kinsoku/>
              <w:wordWrap/>
              <w:overflowPunct/>
              <w:topLinePunct w:val="0"/>
              <w:autoSpaceDE/>
              <w:autoSpaceDN/>
              <w:bidi w:val="0"/>
              <w:adjustRightInd w:val="0"/>
              <w:snapToGrid w:val="0"/>
              <w:spacing w:after="181" w:afterLines="50" w:line="400" w:lineRule="exact"/>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透明（目测）</w:t>
            </w:r>
          </w:p>
        </w:tc>
      </w:tr>
      <w:tr w14:paraId="3DBCD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797" w:type="dxa"/>
            <w:noWrap w:val="0"/>
            <w:vAlign w:val="center"/>
          </w:tcPr>
          <w:p w14:paraId="2FE7CF2E">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firstLine="420" w:firstLineChars="20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黏度指数</w:t>
            </w:r>
          </w:p>
        </w:tc>
        <w:tc>
          <w:tcPr>
            <w:tcW w:w="2436" w:type="dxa"/>
            <w:noWrap w:val="0"/>
            <w:vAlign w:val="center"/>
          </w:tcPr>
          <w:p w14:paraId="380A0E86">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firstLine="420" w:firstLineChars="20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≥90</w:t>
            </w:r>
          </w:p>
        </w:tc>
        <w:tc>
          <w:tcPr>
            <w:tcW w:w="1936" w:type="dxa"/>
            <w:noWrap w:val="0"/>
            <w:vAlign w:val="center"/>
          </w:tcPr>
          <w:p w14:paraId="55A5D516">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firstLine="420" w:firstLineChars="20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≥95</w:t>
            </w:r>
          </w:p>
        </w:tc>
        <w:tc>
          <w:tcPr>
            <w:tcW w:w="1669" w:type="dxa"/>
            <w:noWrap w:val="0"/>
            <w:vAlign w:val="center"/>
          </w:tcPr>
          <w:p w14:paraId="02D8023F">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firstLine="420" w:firstLineChars="20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≥95</w:t>
            </w:r>
          </w:p>
        </w:tc>
      </w:tr>
      <w:tr w14:paraId="54ADE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797" w:type="dxa"/>
            <w:noWrap w:val="0"/>
            <w:vAlign w:val="center"/>
          </w:tcPr>
          <w:p w14:paraId="3E9E115A">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firstLine="420" w:firstLineChars="20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b w:val="0"/>
                <w:bCs/>
                <w:sz w:val="21"/>
                <w:szCs w:val="21"/>
                <w:lang w:val="en-US" w:eastAsia="zh-CN"/>
              </w:rPr>
              <w:t>闪点（开口）</w:t>
            </w:r>
          </w:p>
        </w:tc>
        <w:tc>
          <w:tcPr>
            <w:tcW w:w="2436" w:type="dxa"/>
            <w:noWrap w:val="0"/>
            <w:vAlign w:val="center"/>
          </w:tcPr>
          <w:p w14:paraId="53BBEAFB">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firstLine="420" w:firstLineChars="20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b w:val="0"/>
                <w:bCs/>
                <w:sz w:val="21"/>
                <w:szCs w:val="21"/>
                <w:lang w:val="en-US" w:eastAsia="zh-CN"/>
              </w:rPr>
              <w:t>≥200℃</w:t>
            </w:r>
          </w:p>
        </w:tc>
        <w:tc>
          <w:tcPr>
            <w:tcW w:w="1936" w:type="dxa"/>
            <w:noWrap w:val="0"/>
            <w:vAlign w:val="center"/>
          </w:tcPr>
          <w:p w14:paraId="59D3C593">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firstLine="420" w:firstLineChars="20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b w:val="0"/>
                <w:bCs/>
                <w:sz w:val="21"/>
                <w:szCs w:val="21"/>
                <w:lang w:val="en-US" w:eastAsia="zh-CN"/>
              </w:rPr>
              <w:t>≥185℃</w:t>
            </w:r>
          </w:p>
        </w:tc>
        <w:tc>
          <w:tcPr>
            <w:tcW w:w="1669" w:type="dxa"/>
            <w:noWrap w:val="0"/>
            <w:vAlign w:val="center"/>
          </w:tcPr>
          <w:p w14:paraId="13FCFEBB">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firstLine="420" w:firstLineChars="20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b w:val="0"/>
                <w:bCs/>
                <w:sz w:val="21"/>
                <w:szCs w:val="21"/>
                <w:lang w:val="en-US" w:eastAsia="zh-CN"/>
              </w:rPr>
              <w:t>≥230℃</w:t>
            </w:r>
          </w:p>
        </w:tc>
      </w:tr>
      <w:tr w14:paraId="1FC96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797" w:type="dxa"/>
            <w:noWrap w:val="0"/>
            <w:vAlign w:val="center"/>
          </w:tcPr>
          <w:p w14:paraId="336E8B0D">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firstLine="420" w:firstLineChars="20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倾点</w:t>
            </w:r>
          </w:p>
        </w:tc>
        <w:tc>
          <w:tcPr>
            <w:tcW w:w="2436" w:type="dxa"/>
            <w:noWrap w:val="0"/>
            <w:vAlign w:val="center"/>
          </w:tcPr>
          <w:p w14:paraId="7EAB7015">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firstLine="420" w:firstLineChars="20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≤-9℃</w:t>
            </w:r>
          </w:p>
        </w:tc>
        <w:tc>
          <w:tcPr>
            <w:tcW w:w="1936" w:type="dxa"/>
            <w:noWrap w:val="0"/>
            <w:vAlign w:val="center"/>
          </w:tcPr>
          <w:p w14:paraId="416960D7">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firstLine="420" w:firstLineChars="20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≤-9℃</w:t>
            </w:r>
          </w:p>
        </w:tc>
        <w:tc>
          <w:tcPr>
            <w:tcW w:w="1669" w:type="dxa"/>
            <w:noWrap w:val="0"/>
            <w:vAlign w:val="center"/>
          </w:tcPr>
          <w:p w14:paraId="5EF3F3E7">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firstLine="420" w:firstLineChars="20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≤-9℃</w:t>
            </w:r>
          </w:p>
        </w:tc>
      </w:tr>
      <w:tr w14:paraId="6BA6C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797" w:type="dxa"/>
            <w:noWrap w:val="0"/>
            <w:vAlign w:val="center"/>
          </w:tcPr>
          <w:p w14:paraId="03528BA4">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leftChars="0" w:firstLine="0" w:firstLineChars="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液相锈蚀实验</w:t>
            </w:r>
          </w:p>
        </w:tc>
        <w:tc>
          <w:tcPr>
            <w:tcW w:w="2436" w:type="dxa"/>
            <w:noWrap w:val="0"/>
            <w:vAlign w:val="center"/>
          </w:tcPr>
          <w:p w14:paraId="4E469F3A">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firstLine="420" w:firstLineChars="20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无锈</w:t>
            </w:r>
          </w:p>
        </w:tc>
        <w:tc>
          <w:tcPr>
            <w:tcW w:w="1936" w:type="dxa"/>
            <w:noWrap w:val="0"/>
            <w:vAlign w:val="center"/>
          </w:tcPr>
          <w:p w14:paraId="782A5CCA">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firstLine="420" w:firstLineChars="20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无锈</w:t>
            </w:r>
          </w:p>
        </w:tc>
        <w:tc>
          <w:tcPr>
            <w:tcW w:w="1669" w:type="dxa"/>
            <w:noWrap w:val="0"/>
            <w:vAlign w:val="center"/>
          </w:tcPr>
          <w:p w14:paraId="7C24A620">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firstLine="420" w:firstLineChars="20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无锈</w:t>
            </w:r>
          </w:p>
        </w:tc>
      </w:tr>
      <w:tr w14:paraId="77789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797" w:type="dxa"/>
            <w:noWrap w:val="0"/>
            <w:vAlign w:val="center"/>
          </w:tcPr>
          <w:p w14:paraId="7567A474">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firstLine="420" w:firstLineChars="20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机械杂质</w:t>
            </w:r>
          </w:p>
        </w:tc>
        <w:tc>
          <w:tcPr>
            <w:tcW w:w="2436" w:type="dxa"/>
            <w:noWrap w:val="0"/>
            <w:vAlign w:val="center"/>
          </w:tcPr>
          <w:p w14:paraId="14CFE16C">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firstLine="420" w:firstLineChars="20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≤0.02%</w:t>
            </w:r>
          </w:p>
        </w:tc>
        <w:tc>
          <w:tcPr>
            <w:tcW w:w="1936" w:type="dxa"/>
            <w:noWrap w:val="0"/>
            <w:vAlign w:val="center"/>
          </w:tcPr>
          <w:p w14:paraId="62FE85F8">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firstLine="420" w:firstLineChars="20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无</w:t>
            </w:r>
          </w:p>
        </w:tc>
        <w:tc>
          <w:tcPr>
            <w:tcW w:w="1669" w:type="dxa"/>
            <w:noWrap w:val="0"/>
            <w:vAlign w:val="center"/>
          </w:tcPr>
          <w:p w14:paraId="5AC382B0">
            <w:pPr>
              <w:pStyle w:val="10"/>
              <w:keepNext w:val="0"/>
              <w:keepLines w:val="0"/>
              <w:pageBreakBefore w:val="0"/>
              <w:widowControl/>
              <w:tabs>
                <w:tab w:val="left" w:pos="662"/>
              </w:tabs>
              <w:kinsoku/>
              <w:wordWrap/>
              <w:overflowPunct/>
              <w:topLinePunct w:val="0"/>
              <w:autoSpaceDE/>
              <w:autoSpaceDN/>
              <w:bidi w:val="0"/>
              <w:adjustRightInd w:val="0"/>
              <w:snapToGrid w:val="0"/>
              <w:spacing w:after="181" w:afterLines="50" w:line="400" w:lineRule="exact"/>
              <w:ind w:left="0" w:firstLine="420" w:firstLineChars="200"/>
              <w:jc w:val="left"/>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≤0.01%</w:t>
            </w:r>
          </w:p>
        </w:tc>
      </w:tr>
    </w:tbl>
    <w:p w14:paraId="4E3CFD2D">
      <w:pPr>
        <w:keepNext w:val="0"/>
        <w:keepLines w:val="0"/>
        <w:pageBreakBefore w:val="0"/>
        <w:numPr>
          <w:ilvl w:val="0"/>
          <w:numId w:val="2"/>
        </w:numPr>
        <w:kinsoku/>
        <w:wordWrap/>
        <w:overflowPunct/>
        <w:topLinePunct w:val="0"/>
        <w:autoSpaceDE/>
        <w:autoSpaceDN/>
        <w:bidi w:val="0"/>
        <w:spacing w:line="360" w:lineRule="exact"/>
        <w:ind w:left="0" w:firstLine="560" w:firstLineChars="200"/>
        <w:jc w:val="left"/>
        <w:textAlignment w:val="auto"/>
        <w:rPr>
          <w:rFonts w:hint="eastAsia" w:cs="Times New Roman" w:eastAsiaTheme="minorEastAsia"/>
          <w:color w:val="auto"/>
          <w:kern w:val="0"/>
          <w:sz w:val="28"/>
          <w:szCs w:val="28"/>
          <w:lang w:val="en-US" w:eastAsia="zh-CN"/>
        </w:rPr>
      </w:pPr>
      <w:r>
        <w:rPr>
          <w:rFonts w:hint="eastAsia" w:cs="Times New Roman" w:eastAsiaTheme="minorEastAsia"/>
          <w:color w:val="auto"/>
          <w:kern w:val="0"/>
          <w:sz w:val="28"/>
          <w:szCs w:val="28"/>
          <w:lang w:val="en-US" w:eastAsia="zh-CN"/>
        </w:rPr>
        <w:t>报名时间：2026年2月28日至2026年3月2日17:00</w:t>
      </w:r>
    </w:p>
    <w:p w14:paraId="70B5E207">
      <w:pPr>
        <w:keepNext w:val="0"/>
        <w:keepLines w:val="0"/>
        <w:pageBreakBefore w:val="0"/>
        <w:numPr>
          <w:ilvl w:val="0"/>
          <w:numId w:val="0"/>
        </w:numPr>
        <w:kinsoku/>
        <w:wordWrap/>
        <w:overflowPunct/>
        <w:topLinePunct w:val="0"/>
        <w:autoSpaceDE/>
        <w:autoSpaceDN/>
        <w:bidi w:val="0"/>
        <w:spacing w:line="360" w:lineRule="exact"/>
        <w:ind w:left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七、</w:t>
      </w:r>
      <w:r>
        <w:rPr>
          <w:rFonts w:hint="eastAsia" w:ascii="宋体" w:hAnsi="宋体" w:eastAsia="宋体" w:cs="宋体"/>
          <w:color w:val="auto"/>
          <w:sz w:val="28"/>
          <w:szCs w:val="28"/>
        </w:rPr>
        <w:t>报名方式：</w:t>
      </w:r>
      <w:r>
        <w:rPr>
          <w:rFonts w:hint="eastAsia" w:ascii="宋体" w:hAnsi="宋体" w:eastAsia="宋体" w:cs="宋体"/>
          <w:color w:val="auto"/>
          <w:sz w:val="28"/>
          <w:szCs w:val="28"/>
        </w:rPr>
        <w:br w:type="textWrapping"/>
      </w:r>
      <w:r>
        <w:rPr>
          <w:rFonts w:hint="eastAsia" w:ascii="宋体" w:hAnsi="宋体" w:eastAsia="宋体" w:cs="宋体"/>
          <w:color w:val="auto"/>
          <w:sz w:val="28"/>
          <w:szCs w:val="28"/>
        </w:rPr>
        <w:t>（1）报名确认信息：</w:t>
      </w:r>
    </w:p>
    <w:p w14:paraId="0146CE1E">
      <w:pPr>
        <w:keepNext w:val="0"/>
        <w:keepLines w:val="0"/>
        <w:pageBreakBefore w:val="0"/>
        <w:numPr>
          <w:ilvl w:val="0"/>
          <w:numId w:val="0"/>
        </w:numPr>
        <w:kinsoku/>
        <w:wordWrap/>
        <w:overflowPunct/>
        <w:topLinePunct w:val="0"/>
        <w:autoSpaceDE/>
        <w:autoSpaceDN/>
        <w:bidi w:val="0"/>
        <w:spacing w:line="360" w:lineRule="exact"/>
        <w:ind w:firstLine="560" w:firstLineChars="200"/>
        <w:jc w:val="left"/>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A.供应商资质文件</w:t>
      </w:r>
      <w:bookmarkStart w:id="0" w:name="_GoBack"/>
      <w:r>
        <w:rPr>
          <w:rFonts w:hint="eastAsia" w:ascii="宋体" w:hAnsi="宋体" w:cs="宋体"/>
          <w:color w:val="auto"/>
          <w:sz w:val="28"/>
          <w:szCs w:val="28"/>
          <w:lang w:val="en-US" w:eastAsia="zh-CN"/>
        </w:rPr>
        <w:t>于报名期内</w:t>
      </w:r>
      <w:bookmarkEnd w:id="0"/>
      <w:r>
        <w:rPr>
          <w:rFonts w:hint="eastAsia" w:ascii="宋体" w:hAnsi="宋体" w:eastAsia="宋体" w:cs="宋体"/>
          <w:color w:val="auto"/>
          <w:sz w:val="28"/>
          <w:szCs w:val="28"/>
          <w:lang w:val="en-US" w:eastAsia="zh-CN"/>
        </w:rPr>
        <w:t>发送至指定电子邮箱。</w:t>
      </w:r>
    </w:p>
    <w:p w14:paraId="2E63CCFF">
      <w:pPr>
        <w:keepNext w:val="0"/>
        <w:keepLines w:val="0"/>
        <w:pageBreakBefore w:val="0"/>
        <w:numPr>
          <w:ilvl w:val="0"/>
          <w:numId w:val="0"/>
        </w:numPr>
        <w:kinsoku/>
        <w:wordWrap/>
        <w:overflowPunct/>
        <w:topLinePunct w:val="0"/>
        <w:autoSpaceDE/>
        <w:autoSpaceDN/>
        <w:bidi w:val="0"/>
        <w:spacing w:line="360" w:lineRule="exact"/>
        <w:ind w:firstLine="560" w:firstLineChars="200"/>
        <w:jc w:val="left"/>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B.资质要求纸质文件及报价文件密封后邮寄至宝钛集团宽厚板材料公司供应科。</w:t>
      </w:r>
    </w:p>
    <w:p w14:paraId="66942871">
      <w:pPr>
        <w:keepNext w:val="0"/>
        <w:keepLines w:val="0"/>
        <w:pageBreakBefore w:val="0"/>
        <w:numPr>
          <w:ilvl w:val="0"/>
          <w:numId w:val="3"/>
        </w:numPr>
        <w:kinsoku/>
        <w:wordWrap/>
        <w:overflowPunct/>
        <w:topLinePunct w:val="0"/>
        <w:autoSpaceDE/>
        <w:autoSpaceDN/>
        <w:bidi w:val="0"/>
        <w:spacing w:line="360" w:lineRule="exact"/>
        <w:ind w:leftChars="200"/>
        <w:jc w:val="left"/>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未尽事宜联系</w:t>
      </w:r>
      <w:r>
        <w:rPr>
          <w:rFonts w:hint="eastAsia" w:ascii="宋体" w:hAnsi="宋体" w:eastAsia="宋体" w:cs="宋体"/>
          <w:color w:val="auto"/>
          <w:sz w:val="28"/>
          <w:szCs w:val="28"/>
          <w:lang w:val="en-US" w:eastAsia="zh-CN"/>
        </w:rPr>
        <w:t>宝钛集团宽厚板材料公司</w:t>
      </w:r>
    </w:p>
    <w:p w14:paraId="771F5F49">
      <w:pPr>
        <w:keepNext w:val="0"/>
        <w:keepLines w:val="0"/>
        <w:pageBreakBefore w:val="0"/>
        <w:numPr>
          <w:ilvl w:val="0"/>
          <w:numId w:val="3"/>
        </w:numPr>
        <w:kinsoku/>
        <w:wordWrap/>
        <w:overflowPunct/>
        <w:topLinePunct w:val="0"/>
        <w:autoSpaceDE/>
        <w:autoSpaceDN/>
        <w:bidi w:val="0"/>
        <w:spacing w:line="360" w:lineRule="exact"/>
        <w:ind w:leftChars="200"/>
        <w:jc w:val="left"/>
        <w:textAlignment w:val="auto"/>
        <w:rPr>
          <w:rFonts w:hint="eastAsia" w:ascii="宋体" w:hAnsi="宋体" w:eastAsia="宋体" w:cs="宋体"/>
          <w:color w:val="auto"/>
          <w:sz w:val="28"/>
          <w:szCs w:val="28"/>
          <w:lang w:val="en-US" w:eastAsia="zh-CN"/>
        </w:rPr>
      </w:pPr>
      <w:r>
        <w:rPr>
          <w:rFonts w:hint="eastAsia" w:asciiTheme="minorEastAsia" w:hAnsiTheme="minorEastAsia" w:eastAsiaTheme="minorEastAsia"/>
          <w:color w:val="auto"/>
          <w:sz w:val="28"/>
          <w:szCs w:val="28"/>
          <w:lang w:val="en-US" w:eastAsia="zh-CN"/>
        </w:rPr>
        <w:t>采购人：宝钛集团有限公司</w:t>
      </w:r>
    </w:p>
    <w:p w14:paraId="743FC9ED">
      <w:pPr>
        <w:keepNext w:val="0"/>
        <w:keepLines w:val="0"/>
        <w:pageBreakBefore w:val="0"/>
        <w:numPr>
          <w:ilvl w:val="0"/>
          <w:numId w:val="0"/>
        </w:numPr>
        <w:kinsoku/>
        <w:wordWrap/>
        <w:overflowPunct/>
        <w:topLinePunct w:val="0"/>
        <w:autoSpaceDE/>
        <w:autoSpaceDN/>
        <w:bidi w:val="0"/>
        <w:spacing w:line="360" w:lineRule="exact"/>
        <w:ind w:firstLine="560" w:firstLineChars="200"/>
        <w:jc w:val="left"/>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联系人</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袁鑫</w:t>
      </w:r>
    </w:p>
    <w:p w14:paraId="74E021C7">
      <w:pPr>
        <w:keepNext w:val="0"/>
        <w:keepLines w:val="0"/>
        <w:pageBreakBefore w:val="0"/>
        <w:kinsoku/>
        <w:wordWrap/>
        <w:overflowPunct/>
        <w:topLinePunct w:val="0"/>
        <w:autoSpaceDE/>
        <w:autoSpaceDN/>
        <w:bidi w:val="0"/>
        <w:spacing w:line="360" w:lineRule="exact"/>
        <w:ind w:left="0" w:firstLine="560" w:firstLineChars="200"/>
        <w:jc w:val="left"/>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电话：</w:t>
      </w:r>
      <w:r>
        <w:rPr>
          <w:rFonts w:hint="eastAsia" w:ascii="宋体" w:hAnsi="宋体" w:eastAsia="宋体" w:cs="宋体"/>
          <w:color w:val="auto"/>
          <w:sz w:val="28"/>
          <w:szCs w:val="28"/>
          <w:lang w:val="en-US" w:eastAsia="zh-CN"/>
        </w:rPr>
        <w:t>0917-3382910</w:t>
      </w:r>
    </w:p>
    <w:p w14:paraId="02CFA27C">
      <w:pPr>
        <w:keepNext w:val="0"/>
        <w:keepLines w:val="0"/>
        <w:pageBreakBefore w:val="0"/>
        <w:kinsoku/>
        <w:wordWrap/>
        <w:overflowPunct/>
        <w:topLinePunct w:val="0"/>
        <w:autoSpaceDE/>
        <w:autoSpaceDN/>
        <w:bidi w:val="0"/>
        <w:spacing w:line="360" w:lineRule="exact"/>
        <w:ind w:left="0"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电子邮箱：</w:t>
      </w:r>
      <w:r>
        <w:rPr>
          <w:rFonts w:hint="eastAsia" w:ascii="宋体" w:hAnsi="宋体" w:eastAsia="宋体" w:cs="宋体"/>
          <w:b w:val="0"/>
          <w:bCs/>
          <w:color w:val="auto"/>
          <w:sz w:val="28"/>
          <w:szCs w:val="28"/>
          <w:lang w:val="en-US" w:eastAsia="zh-CN"/>
        </w:rPr>
        <w:t>770463782@qq.com</w:t>
      </w:r>
    </w:p>
    <w:p w14:paraId="1CCF34D6">
      <w:pPr>
        <w:keepNext w:val="0"/>
        <w:keepLines w:val="0"/>
        <w:pageBreakBefore w:val="0"/>
        <w:kinsoku/>
        <w:wordWrap/>
        <w:overflowPunct/>
        <w:topLinePunct w:val="0"/>
        <w:autoSpaceDE/>
        <w:autoSpaceDN/>
        <w:bidi w:val="0"/>
        <w:spacing w:line="360" w:lineRule="exact"/>
        <w:ind w:left="0" w:firstLine="560" w:firstLineChars="200"/>
        <w:jc w:val="left"/>
        <w:textAlignment w:val="auto"/>
        <w:rPr>
          <w:rFonts w:hint="default" w:ascii="Times New Roman" w:hAnsi="Times New Roman" w:cs="Times New Roman" w:eastAsiaTheme="minorEastAsia"/>
          <w:color w:val="auto"/>
          <w:sz w:val="28"/>
          <w:szCs w:val="28"/>
        </w:rPr>
      </w:pPr>
    </w:p>
    <w:sectPr>
      <w:headerReference r:id="rId3" w:type="default"/>
      <w:footerReference r:id="rId4" w:type="default"/>
      <w:pgSz w:w="11906" w:h="16838"/>
      <w:pgMar w:top="1440" w:right="1466" w:bottom="1440" w:left="16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02"/>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4A33D">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7A86F5">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D30485"/>
    <w:multiLevelType w:val="singleLevel"/>
    <w:tmpl w:val="96D30485"/>
    <w:lvl w:ilvl="0" w:tentative="0">
      <w:start w:val="2"/>
      <w:numFmt w:val="decimal"/>
      <w:suff w:val="nothing"/>
      <w:lvlText w:val="（%1）"/>
      <w:lvlJc w:val="left"/>
    </w:lvl>
  </w:abstractNum>
  <w:abstractNum w:abstractNumId="1">
    <w:nsid w:val="20E6E9CB"/>
    <w:multiLevelType w:val="singleLevel"/>
    <w:tmpl w:val="20E6E9CB"/>
    <w:lvl w:ilvl="0" w:tentative="0">
      <w:start w:val="1"/>
      <w:numFmt w:val="chineseCounting"/>
      <w:suff w:val="nothing"/>
      <w:lvlText w:val="%1、"/>
      <w:lvlJc w:val="left"/>
      <w:rPr>
        <w:rFonts w:hint="eastAsia"/>
      </w:rPr>
    </w:lvl>
  </w:abstractNum>
  <w:abstractNum w:abstractNumId="2">
    <w:nsid w:val="7AB3E1A1"/>
    <w:multiLevelType w:val="singleLevel"/>
    <w:tmpl w:val="7AB3E1A1"/>
    <w:lvl w:ilvl="0" w:tentative="0">
      <w:start w:val="3"/>
      <w:numFmt w:val="chineseCounting"/>
      <w:suff w:val="nothing"/>
      <w:lvlText w:val="（%1）"/>
      <w:lvlJc w:val="left"/>
      <w:rPr>
        <w:rFonts w:hint="eastAsia"/>
      </w:rPr>
    </w:lvl>
  </w:abstractNum>
  <w:num w:numId="1">
    <w:abstractNumId w:val="1"/>
  </w:num>
  <w:num w:numId="2">
    <w:abstractNumId w:val="2"/>
  </w:num>
  <w:num w:numId="3">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